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8E53" w14:textId="77777777" w:rsidR="00EC3E82" w:rsidRDefault="00EC3E82" w:rsidP="00511E43">
      <w:pPr>
        <w:pStyle w:val="BodyCopy"/>
      </w:pPr>
    </w:p>
    <w:p w14:paraId="3D43AA3C" w14:textId="002EF98F" w:rsidR="001308A6" w:rsidRPr="001308A6" w:rsidRDefault="001308A6" w:rsidP="001308A6">
      <w:pPr>
        <w:keepNext/>
        <w:keepLines/>
        <w:spacing w:after="113"/>
        <w:ind w:left="270"/>
        <w:outlineLvl w:val="2"/>
        <w:rPr>
          <w:rFonts w:ascii="Times New Roman" w:eastAsiaTheme="majorEastAsia" w:hAnsi="Times New Roman"/>
          <w:color w:val="003150" w:themeColor="text2"/>
          <w:spacing w:val="-2"/>
          <w:sz w:val="56"/>
          <w:szCs w:val="56"/>
        </w:rPr>
      </w:pPr>
      <w:r w:rsidRPr="001308A6">
        <w:rPr>
          <w:rFonts w:ascii="Times New Roman" w:eastAsiaTheme="majorEastAsia" w:hAnsi="Times New Roman"/>
          <w:color w:val="003150" w:themeColor="text2"/>
          <w:spacing w:val="-2"/>
          <w:sz w:val="56"/>
          <w:szCs w:val="56"/>
        </w:rPr>
        <w:t>Australia Awards Scholarships</w:t>
      </w:r>
      <w:r w:rsidR="009407FF">
        <w:rPr>
          <w:rFonts w:ascii="Times New Roman" w:eastAsiaTheme="majorEastAsia" w:hAnsi="Times New Roman"/>
          <w:color w:val="003150" w:themeColor="text2"/>
          <w:spacing w:val="-2"/>
          <w:sz w:val="56"/>
          <w:szCs w:val="56"/>
        </w:rPr>
        <w:t xml:space="preserve"> - </w:t>
      </w:r>
      <w:r>
        <w:rPr>
          <w:rFonts w:ascii="Times New Roman" w:eastAsiaTheme="majorEastAsia" w:hAnsi="Times New Roman"/>
          <w:color w:val="003150" w:themeColor="text2"/>
          <w:spacing w:val="-2"/>
          <w:sz w:val="56"/>
          <w:szCs w:val="56"/>
        </w:rPr>
        <w:t>B</w:t>
      </w:r>
      <w:r w:rsidRPr="001308A6">
        <w:rPr>
          <w:rFonts w:ascii="Times New Roman" w:eastAsiaTheme="majorEastAsia" w:hAnsi="Times New Roman"/>
          <w:color w:val="003150" w:themeColor="text2"/>
          <w:spacing w:val="-2"/>
          <w:sz w:val="56"/>
          <w:szCs w:val="56"/>
        </w:rPr>
        <w:t>hutan</w:t>
      </w:r>
    </w:p>
    <w:p w14:paraId="62C6357B" w14:textId="14DD6FD5" w:rsidR="001308A6" w:rsidRPr="001308A6" w:rsidRDefault="001308A6" w:rsidP="00D13FEA">
      <w:pPr>
        <w:spacing w:after="480"/>
        <w:ind w:left="270"/>
        <w:sectPr w:rsidR="001308A6" w:rsidRPr="001308A6" w:rsidSect="001308A6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45" w:right="1152" w:bottom="562" w:left="562" w:header="562" w:footer="562" w:gutter="0"/>
          <w:cols w:space="227"/>
          <w:titlePg/>
          <w:docGrid w:linePitch="360"/>
        </w:sectPr>
      </w:pPr>
      <w:r w:rsidRPr="001308A6">
        <w:rPr>
          <w:b/>
          <w:bCs/>
          <w:color w:val="3CB6CE" w:themeColor="background2"/>
          <w:sz w:val="28"/>
          <w:szCs w:val="28"/>
        </w:rPr>
        <w:t>Study commencing in 202</w:t>
      </w:r>
      <w:r w:rsidR="00143C42">
        <w:rPr>
          <w:b/>
          <w:bCs/>
          <w:color w:val="3CB6CE" w:themeColor="background2"/>
          <w:sz w:val="28"/>
          <w:szCs w:val="28"/>
        </w:rPr>
        <w:t>5</w:t>
      </w:r>
    </w:p>
    <w:p w14:paraId="62C6357C" w14:textId="77777777" w:rsidR="00A53330" w:rsidRDefault="00A53330" w:rsidP="008B5702">
      <w:pPr>
        <w:pStyle w:val="Heading3"/>
      </w:pPr>
      <w:r w:rsidRPr="00A53330">
        <w:t xml:space="preserve">Priority fields of study </w:t>
      </w:r>
    </w:p>
    <w:p w14:paraId="62C6357D" w14:textId="4627E16E" w:rsidR="00A53330" w:rsidRDefault="00173035" w:rsidP="00F7357E">
      <w:pPr>
        <w:pStyle w:val="BodyText"/>
        <w:ind w:right="510"/>
      </w:pPr>
      <w:r>
        <w:t xml:space="preserve">The </w:t>
      </w:r>
      <w:r w:rsidR="00A53330">
        <w:t xml:space="preserve">priority fields of study identified for </w:t>
      </w:r>
      <w:r w:rsidR="009876E0">
        <w:t xml:space="preserve">Australia Awards Scholarships </w:t>
      </w:r>
      <w:r w:rsidR="00AA4CE4">
        <w:t>for study commencing in</w:t>
      </w:r>
      <w:r w:rsidR="00A53330">
        <w:t xml:space="preserve"> 20</w:t>
      </w:r>
      <w:r w:rsidR="00AC617C">
        <w:t>2</w:t>
      </w:r>
      <w:r w:rsidR="00143C42">
        <w:t>5</w:t>
      </w:r>
      <w:r w:rsidR="00A53330">
        <w:t xml:space="preserve"> reflect the development needs of Bhutan and priorities agreed between the Australian </w:t>
      </w:r>
      <w:r w:rsidR="001775FB">
        <w:t>G</w:t>
      </w:r>
      <w:r w:rsidR="00A53330">
        <w:t xml:space="preserve">overnment and the Royal Government of Bhutan (RGOB). They align with </w:t>
      </w:r>
      <w:r w:rsidR="003B44E1">
        <w:t xml:space="preserve">the objectives of </w:t>
      </w:r>
      <w:r w:rsidR="00A53330">
        <w:t xml:space="preserve">Australia’s bilateral </w:t>
      </w:r>
      <w:r w:rsidR="003B44E1">
        <w:t xml:space="preserve">and regional </w:t>
      </w:r>
      <w:r w:rsidR="00A53330">
        <w:t>aid program</w:t>
      </w:r>
      <w:r w:rsidR="003B44E1">
        <w:t>s</w:t>
      </w:r>
      <w:r w:rsidR="00A53330">
        <w:t xml:space="preserve">. </w:t>
      </w:r>
    </w:p>
    <w:p w14:paraId="62C6357E" w14:textId="70FC584B" w:rsidR="00A53330" w:rsidRDefault="00A53330" w:rsidP="00F7357E">
      <w:pPr>
        <w:pStyle w:val="BodyText"/>
        <w:ind w:right="1020"/>
      </w:pPr>
      <w:r>
        <w:t xml:space="preserve">Applicants must apply for </w:t>
      </w:r>
      <w:r w:rsidRPr="00A53330">
        <w:rPr>
          <w:b/>
        </w:rPr>
        <w:t>only one</w:t>
      </w:r>
      <w:r>
        <w:t xml:space="preserve"> field of study </w:t>
      </w:r>
      <w:r w:rsidR="00037CC1">
        <w:t>for</w:t>
      </w:r>
      <w:r>
        <w:t xml:space="preserve"> which their parent agency nominates them.</w:t>
      </w:r>
      <w:r w:rsidR="00DD5976">
        <w:t xml:space="preserve"> H</w:t>
      </w:r>
      <w:r w:rsidR="00DE7452">
        <w:t>owever, a</w:t>
      </w:r>
      <w:r>
        <w:t xml:space="preserve">pplicants can submit more than one </w:t>
      </w:r>
      <w:r w:rsidR="00AC617C">
        <w:t>institution</w:t>
      </w:r>
      <w:r>
        <w:t xml:space="preserve"> preference in their applications. </w:t>
      </w:r>
    </w:p>
    <w:p w14:paraId="62C63580" w14:textId="5D46A70B" w:rsidR="00A53330" w:rsidRDefault="00A53330" w:rsidP="00F7357E">
      <w:pPr>
        <w:pStyle w:val="BodyText"/>
        <w:ind w:right="510"/>
      </w:pPr>
      <w:r>
        <w:t>Applicants are encouraged to c</w:t>
      </w:r>
      <w:r w:rsidR="00DE7452">
        <w:t>arefully consider study program</w:t>
      </w:r>
      <w:r>
        <w:t xml:space="preserve"> and institution preferences before applying. </w:t>
      </w:r>
    </w:p>
    <w:p w14:paraId="1A884F4A" w14:textId="6C49383F" w:rsidR="00141E74" w:rsidRPr="00141E74" w:rsidRDefault="00141E74" w:rsidP="00141E74">
      <w:pPr>
        <w:pStyle w:val="Heading3"/>
      </w:pPr>
      <w:r w:rsidRPr="00A53330">
        <w:t xml:space="preserve">Priority fields of study for applicants under the purview of the </w:t>
      </w:r>
      <w:r>
        <w:t xml:space="preserve">Ministry of </w:t>
      </w:r>
      <w:r w:rsidR="00143C42">
        <w:t xml:space="preserve">Education and Skills Development </w:t>
      </w:r>
      <w:r>
        <w:t>for</w:t>
      </w:r>
      <w:r w:rsidR="00143C42">
        <w:t xml:space="preserve"> Advanced</w:t>
      </w:r>
      <w:r>
        <w:t xml:space="preserve"> </w:t>
      </w:r>
      <w:r w:rsidR="00DE33EA">
        <w:t>D</w:t>
      </w:r>
      <w:r>
        <w:t>iploma level programs</w:t>
      </w:r>
    </w:p>
    <w:p w14:paraId="1BFF48E4" w14:textId="2B9C06E8" w:rsidR="001308A6" w:rsidRDefault="001308A6" w:rsidP="00D42ED3">
      <w:pPr>
        <w:spacing w:line="200" w:lineRule="exact"/>
        <w:jc w:val="both"/>
        <w:rPr>
          <w:rFonts w:cstheme="minorHAnsi"/>
          <w:iCs/>
          <w:color w:val="000000"/>
          <w:sz w:val="16"/>
          <w:szCs w:val="16"/>
        </w:rPr>
      </w:pPr>
    </w:p>
    <w:tbl>
      <w:tblPr>
        <w:tblStyle w:val="TableGrid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30"/>
        <w:gridCol w:w="1906"/>
        <w:gridCol w:w="2097"/>
        <w:gridCol w:w="2693"/>
      </w:tblGrid>
      <w:tr w:rsidR="001308A6" w:rsidRPr="00D42ED3" w14:paraId="1516AFC8" w14:textId="77777777" w:rsidTr="00143C42">
        <w:trPr>
          <w:trHeight w:val="699"/>
        </w:trPr>
        <w:tc>
          <w:tcPr>
            <w:tcW w:w="540" w:type="dxa"/>
            <w:shd w:val="clear" w:color="auto" w:fill="3CB6CE"/>
          </w:tcPr>
          <w:p w14:paraId="541270ED" w14:textId="5AC39613" w:rsidR="001308A6" w:rsidRPr="00D42ED3" w:rsidRDefault="001308A6" w:rsidP="0049700F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shd w:val="clear" w:color="auto" w:fill="3CB6CE"/>
          </w:tcPr>
          <w:p w14:paraId="628323E4" w14:textId="77777777" w:rsidR="001308A6" w:rsidRPr="00D42ED3" w:rsidRDefault="001308A6" w:rsidP="0049700F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2ED3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Development Theme</w:t>
            </w:r>
          </w:p>
        </w:tc>
        <w:tc>
          <w:tcPr>
            <w:tcW w:w="1530" w:type="dxa"/>
            <w:shd w:val="clear" w:color="auto" w:fill="3CB6CE"/>
          </w:tcPr>
          <w:p w14:paraId="5C04BBF7" w14:textId="77777777" w:rsidR="001308A6" w:rsidRPr="00D42ED3" w:rsidRDefault="001308A6" w:rsidP="0049700F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2ED3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Agency/Sector</w:t>
            </w:r>
          </w:p>
        </w:tc>
        <w:tc>
          <w:tcPr>
            <w:tcW w:w="1906" w:type="dxa"/>
            <w:shd w:val="clear" w:color="auto" w:fill="3CB6CE"/>
          </w:tcPr>
          <w:p w14:paraId="3CABE047" w14:textId="77777777" w:rsidR="001308A6" w:rsidRPr="00D42ED3" w:rsidRDefault="001308A6" w:rsidP="0049700F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2ED3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Field of Study</w:t>
            </w:r>
          </w:p>
        </w:tc>
        <w:tc>
          <w:tcPr>
            <w:tcW w:w="2097" w:type="dxa"/>
            <w:shd w:val="clear" w:color="auto" w:fill="3CB6CE"/>
          </w:tcPr>
          <w:p w14:paraId="28C7CCB3" w14:textId="77777777" w:rsidR="001308A6" w:rsidRPr="00D42ED3" w:rsidRDefault="001308A6" w:rsidP="0049700F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2ED3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Target Group</w:t>
            </w:r>
          </w:p>
        </w:tc>
        <w:tc>
          <w:tcPr>
            <w:tcW w:w="2693" w:type="dxa"/>
            <w:shd w:val="clear" w:color="auto" w:fill="3CB6CE"/>
          </w:tcPr>
          <w:p w14:paraId="1404BEC1" w14:textId="77777777" w:rsidR="001308A6" w:rsidRPr="00D42ED3" w:rsidRDefault="001308A6" w:rsidP="0049700F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2ED3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Required Academic Background</w:t>
            </w:r>
          </w:p>
        </w:tc>
      </w:tr>
      <w:tr w:rsidR="001308A6" w:rsidRPr="00D42ED3" w14:paraId="6CB93955" w14:textId="77777777" w:rsidTr="00143C42">
        <w:trPr>
          <w:trHeight w:val="741"/>
        </w:trPr>
        <w:tc>
          <w:tcPr>
            <w:tcW w:w="540" w:type="dxa"/>
            <w:vMerge w:val="restart"/>
            <w:vAlign w:val="center"/>
          </w:tcPr>
          <w:p w14:paraId="226251F1" w14:textId="77777777" w:rsidR="001308A6" w:rsidRPr="00160D2F" w:rsidRDefault="001308A6" w:rsidP="0049700F">
            <w:pPr>
              <w:spacing w:before="60" w:after="6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eastAsia="Calibri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30EE4C90" w14:textId="53DE9E99" w:rsidR="001308A6" w:rsidRPr="00160D2F" w:rsidRDefault="00141E74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eastAsia="Calibri" w:hAnsi="Arial" w:cs="Arial"/>
                <w:sz w:val="18"/>
                <w:szCs w:val="18"/>
                <w:lang w:val="en-GB"/>
              </w:rPr>
              <w:t>Economic Growth</w:t>
            </w:r>
          </w:p>
        </w:tc>
        <w:tc>
          <w:tcPr>
            <w:tcW w:w="1530" w:type="dxa"/>
            <w:vAlign w:val="center"/>
          </w:tcPr>
          <w:p w14:paraId="1EBFDAC5" w14:textId="60E8DE45" w:rsidR="001308A6" w:rsidRPr="00160D2F" w:rsidRDefault="00143C42" w:rsidP="0049700F">
            <w:pPr>
              <w:spacing w:before="60" w:after="6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D2F">
              <w:rPr>
                <w:rFonts w:ascii="Arial" w:hAnsi="Arial" w:cs="Arial"/>
                <w:color w:val="000000"/>
                <w:sz w:val="18"/>
                <w:szCs w:val="18"/>
              </w:rPr>
              <w:t>Tourism and Hospitality</w:t>
            </w:r>
            <w:r w:rsidR="001308A6" w:rsidRPr="0016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sector</w:t>
            </w:r>
          </w:p>
          <w:p w14:paraId="40FC0B20" w14:textId="755BA86D" w:rsidR="00143C42" w:rsidRPr="00160D2F" w:rsidRDefault="00143C42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vAlign w:val="center"/>
          </w:tcPr>
          <w:p w14:paraId="2043AA29" w14:textId="4BE2F156" w:rsidR="001308A6" w:rsidRPr="00160D2F" w:rsidRDefault="00143C42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Tourism/Hospitality Management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EE3B112" w14:textId="1DA18A0C" w:rsidR="001308A6" w:rsidRPr="00160D2F" w:rsidRDefault="00143C42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Employees working in the tourism and hospitality sector</w:t>
            </w:r>
          </w:p>
        </w:tc>
        <w:tc>
          <w:tcPr>
            <w:tcW w:w="2693" w:type="dxa"/>
          </w:tcPr>
          <w:p w14:paraId="600CF8FF" w14:textId="7EB36630" w:rsidR="001308A6" w:rsidRPr="00160D2F" w:rsidRDefault="00143C42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Diploma graduates from Royal Institute for Tourism and Hospitality working in the </w:t>
            </w:r>
            <w:r w:rsidR="00C663A3"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ourism and </w:t>
            </w:r>
            <w:r w:rsidR="00C663A3"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ospitality sector</w:t>
            </w:r>
            <w:r w:rsidR="00C663A3"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In addition, applicants must meet </w:t>
            </w:r>
            <w:r w:rsidR="00225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institution</w:t>
            </w:r>
            <w:r w:rsidR="00C663A3"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/course specific requirements.</w:t>
            </w:r>
          </w:p>
        </w:tc>
      </w:tr>
      <w:tr w:rsidR="001308A6" w:rsidRPr="00D42ED3" w14:paraId="70CB6404" w14:textId="77777777" w:rsidTr="00143C42">
        <w:trPr>
          <w:trHeight w:val="714"/>
        </w:trPr>
        <w:tc>
          <w:tcPr>
            <w:tcW w:w="540" w:type="dxa"/>
            <w:vMerge/>
            <w:vAlign w:val="center"/>
          </w:tcPr>
          <w:p w14:paraId="18D964E6" w14:textId="77777777" w:rsidR="001308A6" w:rsidRPr="00160D2F" w:rsidRDefault="001308A6" w:rsidP="0049700F">
            <w:pPr>
              <w:spacing w:before="60" w:after="6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14:paraId="67007823" w14:textId="77777777" w:rsidR="001308A6" w:rsidRPr="00160D2F" w:rsidRDefault="001308A6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180DB37B" w14:textId="350CE08C" w:rsidR="001308A6" w:rsidRPr="00160D2F" w:rsidRDefault="00C663A3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eastAsia="Calibri" w:hAnsi="Arial" w:cs="Arial"/>
                <w:sz w:val="18"/>
                <w:szCs w:val="18"/>
                <w:lang w:val="en-GB"/>
              </w:rPr>
              <w:t>Cross Sector</w:t>
            </w:r>
          </w:p>
        </w:tc>
        <w:tc>
          <w:tcPr>
            <w:tcW w:w="1906" w:type="dxa"/>
            <w:vAlign w:val="center"/>
          </w:tcPr>
          <w:p w14:paraId="60AB2436" w14:textId="3999873E" w:rsidR="001308A6" w:rsidRPr="00160D2F" w:rsidRDefault="00143C42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Graphic Design</w:t>
            </w:r>
          </w:p>
        </w:tc>
        <w:tc>
          <w:tcPr>
            <w:tcW w:w="2097" w:type="dxa"/>
            <w:vAlign w:val="center"/>
          </w:tcPr>
          <w:p w14:paraId="2099241B" w14:textId="73952360" w:rsidR="001308A6" w:rsidRPr="00160D2F" w:rsidRDefault="00143C42" w:rsidP="0049700F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Graphic designer and animators working in relevant field</w:t>
            </w:r>
          </w:p>
        </w:tc>
        <w:tc>
          <w:tcPr>
            <w:tcW w:w="2693" w:type="dxa"/>
          </w:tcPr>
          <w:p w14:paraId="2E0AD648" w14:textId="692C92BC" w:rsidR="00143C42" w:rsidRPr="00160D2F" w:rsidRDefault="00D36D2D" w:rsidP="00C663A3">
            <w:pPr>
              <w:spacing w:before="60" w:after="60" w:line="240" w:lineRule="exact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160D2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Minimum </w:t>
            </w:r>
            <w:r w:rsidR="00104C4C" w:rsidRPr="00160D2F">
              <w:rPr>
                <w:rFonts w:ascii="Arial" w:eastAsia="Calibri" w:hAnsi="Arial" w:cs="Arial"/>
                <w:sz w:val="18"/>
                <w:szCs w:val="18"/>
                <w:lang w:val="en-GB"/>
              </w:rPr>
              <w:t>Class XII pass</w:t>
            </w:r>
            <w:r w:rsidR="00681336" w:rsidRPr="00160D2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certificate </w:t>
            </w:r>
            <w:r w:rsidR="00104C4C" w:rsidRPr="00160D2F">
              <w:rPr>
                <w:rFonts w:ascii="Arial" w:eastAsia="Calibri" w:hAnsi="Arial" w:cs="Arial"/>
                <w:sz w:val="18"/>
                <w:szCs w:val="18"/>
                <w:lang w:val="en-GB"/>
              </w:rPr>
              <w:t>with</w:t>
            </w:r>
            <w:r w:rsidR="00143C42"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certificate course in graphic design/animation</w:t>
            </w:r>
            <w:r w:rsidR="00C663A3"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In addition, applicants must meet </w:t>
            </w:r>
            <w:r w:rsidR="00225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institution</w:t>
            </w:r>
            <w:r w:rsidR="00C663A3" w:rsidRPr="00160D2F">
              <w:rPr>
                <w:rFonts w:ascii="Arial" w:hAnsi="Arial" w:cs="Arial"/>
                <w:color w:val="000000" w:themeColor="text1"/>
                <w:sz w:val="18"/>
                <w:szCs w:val="18"/>
              </w:rPr>
              <w:t>/course specific requirements.</w:t>
            </w:r>
          </w:p>
        </w:tc>
      </w:tr>
    </w:tbl>
    <w:p w14:paraId="1BC1AEFA" w14:textId="77777777" w:rsidR="001308A6" w:rsidRDefault="001308A6" w:rsidP="00D42ED3">
      <w:pPr>
        <w:spacing w:line="200" w:lineRule="exact"/>
        <w:jc w:val="both"/>
        <w:rPr>
          <w:rFonts w:cstheme="minorHAnsi"/>
          <w:iCs/>
          <w:color w:val="000000"/>
          <w:sz w:val="16"/>
          <w:szCs w:val="16"/>
        </w:rPr>
      </w:pPr>
    </w:p>
    <w:p w14:paraId="096FEEEA" w14:textId="77777777" w:rsidR="001308A6" w:rsidRDefault="001308A6" w:rsidP="00D42ED3">
      <w:pPr>
        <w:spacing w:line="200" w:lineRule="exact"/>
        <w:jc w:val="both"/>
        <w:rPr>
          <w:sz w:val="16"/>
          <w:szCs w:val="16"/>
        </w:rPr>
      </w:pPr>
    </w:p>
    <w:p w14:paraId="0845455C" w14:textId="6B09D527" w:rsidR="00E831E7" w:rsidRPr="00A53330" w:rsidRDefault="00E831E7" w:rsidP="00E831E7">
      <w:pPr>
        <w:pStyle w:val="Heading3"/>
      </w:pPr>
      <w:r w:rsidRPr="00A53330">
        <w:t xml:space="preserve">Social </w:t>
      </w:r>
      <w:r>
        <w:t>i</w:t>
      </w:r>
      <w:r w:rsidRPr="00A53330">
        <w:t xml:space="preserve">nclusion </w:t>
      </w:r>
    </w:p>
    <w:p w14:paraId="64827DB6" w14:textId="03443325" w:rsidR="00E831E7" w:rsidRDefault="00E831E7" w:rsidP="00E831E7">
      <w:pPr>
        <w:pStyle w:val="ListParagraph"/>
        <w:ind w:left="0"/>
        <w:rPr>
          <w:b/>
          <w:i/>
          <w:iCs/>
        </w:rPr>
      </w:pP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Australia Awards Scholarships are offered </w:t>
      </w:r>
      <w:r w:rsidR="00FF7AA9"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>based on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 merit, transparency and equal access. </w:t>
      </w:r>
      <w:r w:rsidRPr="00CB3EB0">
        <w:rPr>
          <w:rFonts w:asciiTheme="minorHAnsi" w:eastAsiaTheme="minorHAnsi" w:hAnsiTheme="minorHAnsi" w:cs="Times New Roman"/>
          <w:sz w:val="20"/>
          <w:szCs w:val="20"/>
          <w:lang w:eastAsia="en-US"/>
        </w:rPr>
        <w:t>Applications are strongly encouraged from eligible women, people with disability and people working in rural areas.</w:t>
      </w:r>
    </w:p>
    <w:p w14:paraId="7D1D9E28" w14:textId="77777777" w:rsidR="00E831E7" w:rsidRPr="00780661" w:rsidRDefault="00E831E7" w:rsidP="00E831E7">
      <w:pPr>
        <w:pStyle w:val="Heading3"/>
      </w:pPr>
      <w:r w:rsidRPr="00780661">
        <w:t>Female applicants</w:t>
      </w:r>
    </w:p>
    <w:p w14:paraId="75E4DF9A" w14:textId="7B81E11C" w:rsidR="002254A5" w:rsidRPr="002254A5" w:rsidRDefault="00E831E7" w:rsidP="002254A5">
      <w:pPr>
        <w:pStyle w:val="ListParagraph"/>
        <w:ind w:left="0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>At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 least 50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 percent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 of the 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Scholarships 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will 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be offered 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to 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qualified women 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applicants. Family members can join 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>scholars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>, but certain conditions apply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>—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see the </w:t>
      </w:r>
      <w:hyperlink r:id="rId15" w:history="1">
        <w:r w:rsidRPr="008B5702">
          <w:rPr>
            <w:rStyle w:val="Hyperlink"/>
            <w:rFonts w:asciiTheme="minorHAnsi" w:eastAsiaTheme="minorHAnsi" w:hAnsiTheme="minorHAnsi" w:cs="Times New Roman"/>
            <w:i/>
            <w:sz w:val="20"/>
            <w:szCs w:val="20"/>
            <w:lang w:eastAsia="en-US"/>
          </w:rPr>
          <w:t>Australia Awards Scholarships Policy Handbook</w:t>
        </w:r>
      </w:hyperlink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>.</w:t>
      </w:r>
      <w:r w:rsidR="00DE33EA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>School-going c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hildren can access free public education in Australia and childcare facilities are available (on </w:t>
      </w:r>
      <w:r w:rsidR="003B2E6D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a 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>payment basis)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>,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 if required.</w:t>
      </w:r>
    </w:p>
    <w:p w14:paraId="39A49F59" w14:textId="77777777" w:rsidR="002254A5" w:rsidRDefault="002254A5" w:rsidP="002254A5">
      <w:pPr>
        <w:pStyle w:val="BodyCopy"/>
      </w:pPr>
    </w:p>
    <w:p w14:paraId="5E2E5D94" w14:textId="77777777" w:rsidR="002254A5" w:rsidRDefault="002254A5" w:rsidP="002254A5">
      <w:pPr>
        <w:pStyle w:val="BodyCopy"/>
      </w:pPr>
    </w:p>
    <w:p w14:paraId="3EDCE398" w14:textId="77777777" w:rsidR="002254A5" w:rsidRDefault="002254A5" w:rsidP="002254A5">
      <w:pPr>
        <w:pStyle w:val="BodyCopy"/>
      </w:pPr>
    </w:p>
    <w:p w14:paraId="3FC4055F" w14:textId="68630430" w:rsidR="00E831E7" w:rsidRPr="00780661" w:rsidRDefault="00E831E7" w:rsidP="00E831E7">
      <w:pPr>
        <w:pStyle w:val="Heading3"/>
      </w:pPr>
      <w:r w:rsidRPr="00780661">
        <w:t>Disability support</w:t>
      </w:r>
    </w:p>
    <w:p w14:paraId="62C635E9" w14:textId="21A6F547" w:rsidR="00A53330" w:rsidRDefault="00E831E7" w:rsidP="00E831E7">
      <w:pPr>
        <w:pStyle w:val="ListParagraph"/>
        <w:ind w:left="0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>Reasonable disability support (academic and non-academic) is provided to recipients with disability based on a ‘needs’ assessment with the objective of allowing their participation on an equal basis with other recipients</w:t>
      </w:r>
      <w:r>
        <w:rPr>
          <w:rFonts w:asciiTheme="minorHAnsi" w:eastAsiaTheme="minorHAnsi" w:hAnsiTheme="minorHAnsi" w:cs="Times New Roman"/>
          <w:sz w:val="20"/>
          <w:szCs w:val="20"/>
          <w:lang w:eastAsia="en-US"/>
        </w:rPr>
        <w:t>—</w:t>
      </w:r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see the </w:t>
      </w:r>
      <w:hyperlink r:id="rId16" w:history="1">
        <w:r w:rsidRPr="008B5702">
          <w:rPr>
            <w:rStyle w:val="Hyperlink"/>
            <w:i/>
          </w:rPr>
          <w:t>Australia Awards Scholarships Policy Handbook</w:t>
        </w:r>
      </w:hyperlink>
      <w:r w:rsidRPr="00A53330">
        <w:rPr>
          <w:rFonts w:asciiTheme="minorHAnsi" w:eastAsiaTheme="minorHAnsi" w:hAnsiTheme="minorHAnsi" w:cs="Times New Roman"/>
          <w:sz w:val="20"/>
          <w:szCs w:val="20"/>
          <w:lang w:eastAsia="en-US"/>
        </w:rPr>
        <w:t>.</w:t>
      </w:r>
    </w:p>
    <w:p w14:paraId="1D1C6D40" w14:textId="6697FC86" w:rsidR="00DE2E17" w:rsidRDefault="00DE2E17" w:rsidP="00E831E7">
      <w:pPr>
        <w:pStyle w:val="ListParagraph"/>
        <w:ind w:left="0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</w:p>
    <w:p w14:paraId="6FBF9D6F" w14:textId="250795B9" w:rsidR="00DE2E17" w:rsidRDefault="00DE2E17" w:rsidP="00E831E7">
      <w:pPr>
        <w:pStyle w:val="ListParagraph"/>
        <w:ind w:left="0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</w:p>
    <w:p w14:paraId="2F07B15A" w14:textId="77777777" w:rsidR="00DE2E17" w:rsidRDefault="00DE2E17" w:rsidP="00E831E7">
      <w:pPr>
        <w:pStyle w:val="ListParagraph"/>
        <w:ind w:left="0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</w:p>
    <w:p w14:paraId="6FF21D66" w14:textId="77777777" w:rsidR="00E831E7" w:rsidRPr="00A53330" w:rsidRDefault="00E831E7" w:rsidP="00E831E7">
      <w:pPr>
        <w:pStyle w:val="ListParagraph"/>
        <w:ind w:left="0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</w:p>
    <w:p w14:paraId="62C635EA" w14:textId="77777777" w:rsidR="00A53330" w:rsidRDefault="00A53330" w:rsidP="00A53330">
      <w:pPr>
        <w:pStyle w:val="BodyText"/>
        <w:rPr>
          <w:rFonts w:ascii="Arial" w:eastAsiaTheme="majorEastAsia" w:hAnsi="Arial" w:cstheme="majorBidi"/>
          <w:b/>
          <w:bCs/>
          <w:color w:val="003150" w:themeColor="text2"/>
          <w:spacing w:val="-2"/>
        </w:rPr>
      </w:pPr>
      <w:bookmarkStart w:id="0" w:name="l"/>
    </w:p>
    <w:bookmarkEnd w:id="0"/>
    <w:p w14:paraId="1F5C8CB1" w14:textId="1F1BF853" w:rsidR="004051E0" w:rsidRPr="00A53330" w:rsidRDefault="004051E0" w:rsidP="004051E0">
      <w:pPr>
        <w:pStyle w:val="BodyText"/>
        <w:spacing w:before="240"/>
        <w:rPr>
          <w:rFonts w:ascii="Arial" w:eastAsiaTheme="majorEastAsia" w:hAnsi="Arial" w:cstheme="majorBidi"/>
          <w:b/>
          <w:bCs/>
          <w:color w:val="003150" w:themeColor="text2"/>
          <w:spacing w:val="-2"/>
          <w:sz w:val="32"/>
        </w:rPr>
      </w:pPr>
      <w:r w:rsidRPr="00A53330">
        <w:rPr>
          <w:rFonts w:ascii="Arial" w:eastAsiaTheme="majorEastAsia" w:hAnsi="Arial" w:cstheme="majorBidi"/>
          <w:b/>
          <w:bCs/>
          <w:color w:val="003150" w:themeColor="text2"/>
          <w:spacing w:val="-2"/>
          <w:sz w:val="32"/>
        </w:rPr>
        <w:t>Contact us</w:t>
      </w:r>
    </w:p>
    <w:p w14:paraId="3C8E1CD2" w14:textId="67CB9AB9" w:rsidR="004051E0" w:rsidRPr="00531DBF" w:rsidRDefault="004051E0" w:rsidP="004051E0">
      <w:r w:rsidRPr="00531DBF">
        <w:rPr>
          <w:b/>
        </w:rPr>
        <w:t>Australia Awards</w:t>
      </w:r>
      <w:r w:rsidR="002254A5">
        <w:rPr>
          <w:b/>
        </w:rPr>
        <w:t xml:space="preserve"> – </w:t>
      </w:r>
      <w:r w:rsidRPr="00531DBF">
        <w:rPr>
          <w:b/>
        </w:rPr>
        <w:t>Bhutan</w:t>
      </w:r>
      <w:r w:rsidR="002254A5">
        <w:rPr>
          <w:b/>
        </w:rPr>
        <w:t xml:space="preserve"> </w:t>
      </w:r>
      <w:r w:rsidRPr="00531DBF">
        <w:rPr>
          <w:b/>
        </w:rPr>
        <w:t xml:space="preserve"> </w:t>
      </w:r>
      <w:r w:rsidRPr="00531DBF">
        <w:br/>
      </w:r>
      <w:proofErr w:type="spellStart"/>
      <w:r w:rsidRPr="00531DBF">
        <w:t>Karsang</w:t>
      </w:r>
      <w:proofErr w:type="spellEnd"/>
      <w:r w:rsidRPr="00531DBF">
        <w:t xml:space="preserve"> Building No. 4, Room 204</w:t>
      </w:r>
      <w:r w:rsidRPr="00531DBF">
        <w:br/>
        <w:t xml:space="preserve">Chorten Lam </w:t>
      </w:r>
    </w:p>
    <w:p w14:paraId="32F478CF" w14:textId="77777777" w:rsidR="004051E0" w:rsidRPr="00531DBF" w:rsidRDefault="004051E0" w:rsidP="004051E0">
      <w:r w:rsidRPr="00531DBF">
        <w:t>Thimphu 11001</w:t>
      </w:r>
    </w:p>
    <w:p w14:paraId="67CB72D7" w14:textId="77777777" w:rsidR="004051E0" w:rsidRPr="00531DBF" w:rsidRDefault="004051E0" w:rsidP="004051E0">
      <w:r w:rsidRPr="00531DBF">
        <w:t>Bhutan</w:t>
      </w:r>
    </w:p>
    <w:p w14:paraId="0301938D" w14:textId="77777777" w:rsidR="004051E0" w:rsidRPr="00531DBF" w:rsidRDefault="004051E0" w:rsidP="004051E0"/>
    <w:p w14:paraId="6E863BD9" w14:textId="77777777" w:rsidR="004051E0" w:rsidRPr="00531DBF" w:rsidRDefault="004051E0" w:rsidP="004051E0">
      <w:r w:rsidRPr="00531DBF">
        <w:t xml:space="preserve">T (975)-2-331845, F (975)-2-334793 </w:t>
      </w:r>
    </w:p>
    <w:p w14:paraId="2EB2D372" w14:textId="23F16716" w:rsidR="004051E0" w:rsidRPr="00531DBF" w:rsidRDefault="004051E0" w:rsidP="004051E0">
      <w:r w:rsidRPr="00531DBF">
        <w:t>M (975) 17127450/17127451</w:t>
      </w:r>
      <w:r w:rsidR="00DE33EA">
        <w:t>/17128452</w:t>
      </w:r>
    </w:p>
    <w:p w14:paraId="1D667E47" w14:textId="77777777" w:rsidR="004051E0" w:rsidRPr="00531DBF" w:rsidRDefault="004051E0" w:rsidP="004051E0">
      <w:pPr>
        <w:rPr>
          <w:bCs/>
        </w:rPr>
      </w:pPr>
      <w:r w:rsidRPr="00531DBF">
        <w:rPr>
          <w:bCs/>
        </w:rPr>
        <w:t xml:space="preserve">Website: </w:t>
      </w:r>
      <w:hyperlink r:id="rId17" w:history="1">
        <w:r w:rsidRPr="00531DBF">
          <w:rPr>
            <w:bCs/>
          </w:rPr>
          <w:t>www.australiaawardsbhutan.org</w:t>
        </w:r>
      </w:hyperlink>
    </w:p>
    <w:p w14:paraId="000736AC" w14:textId="77777777" w:rsidR="004051E0" w:rsidRPr="00531DBF" w:rsidRDefault="004051E0" w:rsidP="004051E0">
      <w:r w:rsidRPr="00531DBF">
        <w:rPr>
          <w:bCs/>
        </w:rPr>
        <w:t xml:space="preserve">Email: </w:t>
      </w:r>
      <w:hyperlink r:id="rId18" w:history="1">
        <w:r w:rsidRPr="00531DBF">
          <w:rPr>
            <w:bCs/>
          </w:rPr>
          <w:t>inquiries@australiaawardsbhutan.org</w:t>
        </w:r>
      </w:hyperlink>
      <w:r w:rsidRPr="00531DBF">
        <w:t xml:space="preserve"> </w:t>
      </w:r>
    </w:p>
    <w:p w14:paraId="62C635F5" w14:textId="407D683B" w:rsidR="00A53330" w:rsidRPr="00E831E7" w:rsidRDefault="00A53330" w:rsidP="00F7357E">
      <w:pPr>
        <w:rPr>
          <w:bCs/>
        </w:rPr>
      </w:pPr>
    </w:p>
    <w:sectPr w:rsidR="00A53330" w:rsidRPr="00E831E7" w:rsidSect="00D42ED3">
      <w:type w:val="continuous"/>
      <w:pgSz w:w="11906" w:h="16838" w:code="9"/>
      <w:pgMar w:top="680" w:right="794" w:bottom="851" w:left="794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FD14" w14:textId="77777777" w:rsidR="007C54A0" w:rsidRDefault="007C54A0" w:rsidP="00070A89">
      <w:r>
        <w:separator/>
      </w:r>
    </w:p>
  </w:endnote>
  <w:endnote w:type="continuationSeparator" w:id="0">
    <w:p w14:paraId="268F3A92" w14:textId="77777777" w:rsidR="007C54A0" w:rsidRDefault="007C54A0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5FA" w14:textId="3B740579" w:rsidR="00A53330" w:rsidRPr="00B83CFE" w:rsidRDefault="00B83CFE" w:rsidP="00B83CFE">
    <w:pPr>
      <w:pStyle w:val="Footer"/>
      <w:rPr>
        <w:rFonts w:ascii="Times New Roman" w:hAnsi="Times New Roman"/>
        <w:color w:val="003150" w:themeColor="text2"/>
        <w:sz w:val="16"/>
        <w:szCs w:val="16"/>
        <w:lang w:val="en-US"/>
      </w:rPr>
    </w:pPr>
    <w:r w:rsidRPr="00437A24">
      <w:rPr>
        <w:rFonts w:ascii="Times New Roman" w:hAnsi="Times New Roman"/>
        <w:b/>
        <w:bCs/>
        <w:color w:val="003150" w:themeColor="text2"/>
        <w:sz w:val="16"/>
        <w:szCs w:val="16"/>
        <w:lang w:val="en-US"/>
      </w:rPr>
      <w:t>Australia Awards Scholarships</w:t>
    </w:r>
    <w:r w:rsidR="009407FF">
      <w:rPr>
        <w:rFonts w:ascii="Times New Roman" w:hAnsi="Times New Roman"/>
        <w:b/>
        <w:bCs/>
        <w:color w:val="003150" w:themeColor="text2"/>
        <w:sz w:val="16"/>
        <w:szCs w:val="16"/>
        <w:lang w:val="en-US"/>
      </w:rPr>
      <w:t xml:space="preserve">: </w:t>
    </w:r>
    <w:r w:rsidRPr="00437A24">
      <w:rPr>
        <w:rFonts w:ascii="Times New Roman" w:hAnsi="Times New Roman"/>
        <w:color w:val="003150" w:themeColor="text2"/>
        <w:sz w:val="16"/>
        <w:szCs w:val="16"/>
        <w:lang w:val="en-US"/>
      </w:rPr>
      <w:t>study commencing in 202</w:t>
    </w:r>
    <w:r w:rsidR="00C663A3">
      <w:rPr>
        <w:rFonts w:ascii="Times New Roman" w:hAnsi="Times New Roman"/>
        <w:color w:val="003150" w:themeColor="text2"/>
        <w:sz w:val="16"/>
        <w:szCs w:val="16"/>
        <w:lang w:val="en-US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5FC" w14:textId="5039F0D7" w:rsidR="00A53330" w:rsidRPr="00D13FEA" w:rsidRDefault="002254A5" w:rsidP="00D13FEA">
    <w:pPr>
      <w:spacing w:line="200" w:lineRule="atLeast"/>
      <w:rPr>
        <w:rFonts w:ascii="Times New Roman" w:hAnsi="Times New Roman"/>
        <w:color w:val="003150" w:themeColor="text2"/>
        <w:spacing w:val="-1"/>
        <w:sz w:val="16"/>
      </w:rPr>
    </w:pPr>
    <w:sdt>
      <w:sdtPr>
        <w:rPr>
          <w:rFonts w:ascii="Times New Roman" w:hAnsi="Times New Roman"/>
          <w:b/>
          <w:color w:val="003150" w:themeColor="text2"/>
          <w:spacing w:val="-1"/>
          <w:sz w:val="16"/>
        </w:rPr>
        <w:alias w:val="Title"/>
        <w:tag w:val=""/>
        <w:id w:val="13010428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110D">
          <w:rPr>
            <w:rFonts w:ascii="Times New Roman" w:hAnsi="Times New Roman"/>
            <w:b/>
            <w:color w:val="003150" w:themeColor="text2"/>
            <w:spacing w:val="-1"/>
            <w:sz w:val="16"/>
          </w:rPr>
          <w:t>Australia Awards</w:t>
        </w:r>
      </w:sdtContent>
    </w:sdt>
    <w:r w:rsidR="00F6110D">
      <w:rPr>
        <w:rFonts w:ascii="Times New Roman" w:hAnsi="Times New Roman"/>
        <w:b/>
        <w:color w:val="003150" w:themeColor="text2"/>
        <w:spacing w:val="-1"/>
        <w:sz w:val="16"/>
      </w:rPr>
      <w:t xml:space="preserve"> </w:t>
    </w:r>
    <w:r w:rsidR="00801ADA">
      <w:rPr>
        <w:rFonts w:ascii="Times New Roman" w:hAnsi="Times New Roman"/>
        <w:b/>
        <w:color w:val="003150" w:themeColor="text2"/>
        <w:spacing w:val="-1"/>
        <w:sz w:val="16"/>
      </w:rPr>
      <w:t xml:space="preserve">Scholarships: </w:t>
    </w:r>
    <w:r w:rsidR="00601B80" w:rsidRPr="00601B80">
      <w:rPr>
        <w:rFonts w:ascii="Times New Roman" w:hAnsi="Times New Roman"/>
        <w:bCs/>
        <w:color w:val="003150" w:themeColor="text2"/>
        <w:spacing w:val="-1"/>
        <w:sz w:val="16"/>
      </w:rPr>
      <w:t>study commencing in 202</w:t>
    </w:r>
    <w:r w:rsidR="00C663A3">
      <w:rPr>
        <w:rFonts w:ascii="Times New Roman" w:hAnsi="Times New Roman"/>
        <w:bCs/>
        <w:color w:val="003150" w:themeColor="text2"/>
        <w:spacing w:val="-1"/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5198" w14:textId="77777777" w:rsidR="007C54A0" w:rsidRDefault="007C54A0" w:rsidP="00070A89">
      <w:r>
        <w:separator/>
      </w:r>
    </w:p>
  </w:footnote>
  <w:footnote w:type="continuationSeparator" w:id="0">
    <w:p w14:paraId="1145E3B5" w14:textId="77777777" w:rsidR="007C54A0" w:rsidRDefault="007C54A0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5FB" w14:textId="55D35F50" w:rsidR="00A53330" w:rsidRDefault="00AA4CE4" w:rsidP="001308A6">
    <w:pPr>
      <w:pStyle w:val="Header"/>
      <w:spacing w:after="480"/>
      <w:ind w:left="283"/>
    </w:pPr>
    <w:r>
      <w:rPr>
        <w:noProof/>
        <w:lang w:eastAsia="en-AU"/>
      </w:rPr>
      <w:drawing>
        <wp:inline distT="0" distB="0" distL="0" distR="0" wp14:anchorId="28FC5ABA" wp14:editId="7431632A">
          <wp:extent cx="1110108" cy="7715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tralia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54" cy="77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2535"/>
    <w:multiLevelType w:val="hybridMultilevel"/>
    <w:tmpl w:val="72A221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0BCF"/>
    <w:multiLevelType w:val="hybridMultilevel"/>
    <w:tmpl w:val="9190CCF6"/>
    <w:lvl w:ilvl="0" w:tplc="5A083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2F0730"/>
    <w:multiLevelType w:val="hybridMultilevel"/>
    <w:tmpl w:val="AB7C5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3391">
    <w:abstractNumId w:val="4"/>
  </w:num>
  <w:num w:numId="2" w16cid:durableId="2016572150">
    <w:abstractNumId w:val="2"/>
  </w:num>
  <w:num w:numId="3" w16cid:durableId="322509578">
    <w:abstractNumId w:val="5"/>
  </w:num>
  <w:num w:numId="4" w16cid:durableId="321735288">
    <w:abstractNumId w:val="3"/>
  </w:num>
  <w:num w:numId="5" w16cid:durableId="390345320">
    <w:abstractNumId w:val="0"/>
  </w:num>
  <w:num w:numId="6" w16cid:durableId="356346989">
    <w:abstractNumId w:val="1"/>
  </w:num>
  <w:num w:numId="7" w16cid:durableId="1069964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0D"/>
    <w:rsid w:val="00001FB5"/>
    <w:rsid w:val="00014E68"/>
    <w:rsid w:val="00015AE4"/>
    <w:rsid w:val="000168B9"/>
    <w:rsid w:val="000247B4"/>
    <w:rsid w:val="00037CC1"/>
    <w:rsid w:val="000424F4"/>
    <w:rsid w:val="00054E83"/>
    <w:rsid w:val="00070A89"/>
    <w:rsid w:val="000772A0"/>
    <w:rsid w:val="000A288D"/>
    <w:rsid w:val="000B6C00"/>
    <w:rsid w:val="000E0F8B"/>
    <w:rsid w:val="000F28B8"/>
    <w:rsid w:val="000F3766"/>
    <w:rsid w:val="00102A04"/>
    <w:rsid w:val="00104C4C"/>
    <w:rsid w:val="00111F0C"/>
    <w:rsid w:val="00123ECD"/>
    <w:rsid w:val="0012584C"/>
    <w:rsid w:val="001308A6"/>
    <w:rsid w:val="00141E74"/>
    <w:rsid w:val="00143C42"/>
    <w:rsid w:val="00145E2D"/>
    <w:rsid w:val="0015620C"/>
    <w:rsid w:val="00160D2F"/>
    <w:rsid w:val="00173035"/>
    <w:rsid w:val="001763D4"/>
    <w:rsid w:val="001775FB"/>
    <w:rsid w:val="001955C6"/>
    <w:rsid w:val="001C53CE"/>
    <w:rsid w:val="001E28DC"/>
    <w:rsid w:val="001E3F20"/>
    <w:rsid w:val="001E66CE"/>
    <w:rsid w:val="00201BB4"/>
    <w:rsid w:val="0020750F"/>
    <w:rsid w:val="00221DC2"/>
    <w:rsid w:val="002227E7"/>
    <w:rsid w:val="00222E68"/>
    <w:rsid w:val="0022324E"/>
    <w:rsid w:val="002254A5"/>
    <w:rsid w:val="00241370"/>
    <w:rsid w:val="002464B1"/>
    <w:rsid w:val="002573D5"/>
    <w:rsid w:val="002626AB"/>
    <w:rsid w:val="002721DC"/>
    <w:rsid w:val="002A300D"/>
    <w:rsid w:val="002A3D3E"/>
    <w:rsid w:val="002A41E1"/>
    <w:rsid w:val="002A4C44"/>
    <w:rsid w:val="002B0724"/>
    <w:rsid w:val="002B3FC9"/>
    <w:rsid w:val="002B6574"/>
    <w:rsid w:val="002B7A44"/>
    <w:rsid w:val="002C5B51"/>
    <w:rsid w:val="002D0BFE"/>
    <w:rsid w:val="002D2D21"/>
    <w:rsid w:val="00311BD7"/>
    <w:rsid w:val="003131AB"/>
    <w:rsid w:val="003217BE"/>
    <w:rsid w:val="00325D43"/>
    <w:rsid w:val="00345569"/>
    <w:rsid w:val="00354599"/>
    <w:rsid w:val="00363864"/>
    <w:rsid w:val="00367B1E"/>
    <w:rsid w:val="00370C09"/>
    <w:rsid w:val="00373757"/>
    <w:rsid w:val="0039470D"/>
    <w:rsid w:val="003B0B30"/>
    <w:rsid w:val="003B214E"/>
    <w:rsid w:val="003B2E6D"/>
    <w:rsid w:val="003B44E1"/>
    <w:rsid w:val="003B4D23"/>
    <w:rsid w:val="003D3B1D"/>
    <w:rsid w:val="003D3CFE"/>
    <w:rsid w:val="003D5DBE"/>
    <w:rsid w:val="003D6329"/>
    <w:rsid w:val="003D674A"/>
    <w:rsid w:val="00404841"/>
    <w:rsid w:val="004051E0"/>
    <w:rsid w:val="00405CCC"/>
    <w:rsid w:val="00412059"/>
    <w:rsid w:val="004135E1"/>
    <w:rsid w:val="0043784B"/>
    <w:rsid w:val="00441E79"/>
    <w:rsid w:val="00447EDD"/>
    <w:rsid w:val="00483A58"/>
    <w:rsid w:val="004B45F9"/>
    <w:rsid w:val="004C7DC3"/>
    <w:rsid w:val="004D7F17"/>
    <w:rsid w:val="004E7F37"/>
    <w:rsid w:val="00503A61"/>
    <w:rsid w:val="00511E43"/>
    <w:rsid w:val="00531DBF"/>
    <w:rsid w:val="00560DE8"/>
    <w:rsid w:val="0056563B"/>
    <w:rsid w:val="0056612D"/>
    <w:rsid w:val="0057078D"/>
    <w:rsid w:val="00580B40"/>
    <w:rsid w:val="00580DEF"/>
    <w:rsid w:val="00586554"/>
    <w:rsid w:val="005909C1"/>
    <w:rsid w:val="005A41B4"/>
    <w:rsid w:val="005A4D3A"/>
    <w:rsid w:val="005B3AAE"/>
    <w:rsid w:val="005E2E21"/>
    <w:rsid w:val="00601B80"/>
    <w:rsid w:val="00613CA7"/>
    <w:rsid w:val="00616EBA"/>
    <w:rsid w:val="00632C08"/>
    <w:rsid w:val="006364F0"/>
    <w:rsid w:val="0067074A"/>
    <w:rsid w:val="00672748"/>
    <w:rsid w:val="00672994"/>
    <w:rsid w:val="00681336"/>
    <w:rsid w:val="006C2872"/>
    <w:rsid w:val="006E4246"/>
    <w:rsid w:val="0070108B"/>
    <w:rsid w:val="00704CC1"/>
    <w:rsid w:val="007069A2"/>
    <w:rsid w:val="007170CD"/>
    <w:rsid w:val="00726AB2"/>
    <w:rsid w:val="007420D4"/>
    <w:rsid w:val="00752C6B"/>
    <w:rsid w:val="007A7739"/>
    <w:rsid w:val="007C54A0"/>
    <w:rsid w:val="007C7995"/>
    <w:rsid w:val="007D7F00"/>
    <w:rsid w:val="00801ADA"/>
    <w:rsid w:val="008168B3"/>
    <w:rsid w:val="00820F20"/>
    <w:rsid w:val="00821706"/>
    <w:rsid w:val="00825754"/>
    <w:rsid w:val="00842D76"/>
    <w:rsid w:val="00844C2D"/>
    <w:rsid w:val="00844CF4"/>
    <w:rsid w:val="008610B3"/>
    <w:rsid w:val="0089242D"/>
    <w:rsid w:val="008B4EA0"/>
    <w:rsid w:val="008B5702"/>
    <w:rsid w:val="008D4E00"/>
    <w:rsid w:val="008E01EA"/>
    <w:rsid w:val="008E13E5"/>
    <w:rsid w:val="008E2FD2"/>
    <w:rsid w:val="008F29DA"/>
    <w:rsid w:val="008F6E85"/>
    <w:rsid w:val="0090746A"/>
    <w:rsid w:val="0091730C"/>
    <w:rsid w:val="00930DCB"/>
    <w:rsid w:val="009345F1"/>
    <w:rsid w:val="00937121"/>
    <w:rsid w:val="009407FF"/>
    <w:rsid w:val="00941F84"/>
    <w:rsid w:val="00946658"/>
    <w:rsid w:val="00961072"/>
    <w:rsid w:val="009836F5"/>
    <w:rsid w:val="009876E0"/>
    <w:rsid w:val="009B2C39"/>
    <w:rsid w:val="009B4B68"/>
    <w:rsid w:val="009E7080"/>
    <w:rsid w:val="009E750F"/>
    <w:rsid w:val="009F2592"/>
    <w:rsid w:val="00A03CF9"/>
    <w:rsid w:val="00A04D96"/>
    <w:rsid w:val="00A0629B"/>
    <w:rsid w:val="00A177A6"/>
    <w:rsid w:val="00A22256"/>
    <w:rsid w:val="00A46033"/>
    <w:rsid w:val="00A53330"/>
    <w:rsid w:val="00A769B1"/>
    <w:rsid w:val="00A90D1B"/>
    <w:rsid w:val="00A9726A"/>
    <w:rsid w:val="00AA1BD5"/>
    <w:rsid w:val="00AA4CE4"/>
    <w:rsid w:val="00AB286B"/>
    <w:rsid w:val="00AB453E"/>
    <w:rsid w:val="00AC617C"/>
    <w:rsid w:val="00AE3AD8"/>
    <w:rsid w:val="00AF026D"/>
    <w:rsid w:val="00B077D3"/>
    <w:rsid w:val="00B2179D"/>
    <w:rsid w:val="00B423E1"/>
    <w:rsid w:val="00B620EA"/>
    <w:rsid w:val="00B746B8"/>
    <w:rsid w:val="00B802E0"/>
    <w:rsid w:val="00B835BD"/>
    <w:rsid w:val="00B83CFE"/>
    <w:rsid w:val="00BB30D2"/>
    <w:rsid w:val="00BC093A"/>
    <w:rsid w:val="00BC1434"/>
    <w:rsid w:val="00BC4ACC"/>
    <w:rsid w:val="00BE53C6"/>
    <w:rsid w:val="00BF4482"/>
    <w:rsid w:val="00C16722"/>
    <w:rsid w:val="00C217A8"/>
    <w:rsid w:val="00C42327"/>
    <w:rsid w:val="00C47DF3"/>
    <w:rsid w:val="00C6042C"/>
    <w:rsid w:val="00C663A3"/>
    <w:rsid w:val="00C67C45"/>
    <w:rsid w:val="00C91755"/>
    <w:rsid w:val="00C94E2A"/>
    <w:rsid w:val="00CA38E2"/>
    <w:rsid w:val="00CB3EB0"/>
    <w:rsid w:val="00CB544C"/>
    <w:rsid w:val="00CC7F32"/>
    <w:rsid w:val="00CD50F8"/>
    <w:rsid w:val="00CD5925"/>
    <w:rsid w:val="00CE557A"/>
    <w:rsid w:val="00D01F9C"/>
    <w:rsid w:val="00D10644"/>
    <w:rsid w:val="00D13FEA"/>
    <w:rsid w:val="00D1410C"/>
    <w:rsid w:val="00D34E66"/>
    <w:rsid w:val="00D36D2D"/>
    <w:rsid w:val="00D416E0"/>
    <w:rsid w:val="00D42ED3"/>
    <w:rsid w:val="00D51776"/>
    <w:rsid w:val="00D52F80"/>
    <w:rsid w:val="00D5480A"/>
    <w:rsid w:val="00D57F79"/>
    <w:rsid w:val="00D70A45"/>
    <w:rsid w:val="00D71AB9"/>
    <w:rsid w:val="00D904F0"/>
    <w:rsid w:val="00D91378"/>
    <w:rsid w:val="00D95785"/>
    <w:rsid w:val="00DD1408"/>
    <w:rsid w:val="00DD17A1"/>
    <w:rsid w:val="00DD356D"/>
    <w:rsid w:val="00DD5976"/>
    <w:rsid w:val="00DE2E17"/>
    <w:rsid w:val="00DE33EA"/>
    <w:rsid w:val="00DE7452"/>
    <w:rsid w:val="00DF7BB2"/>
    <w:rsid w:val="00E43083"/>
    <w:rsid w:val="00E63646"/>
    <w:rsid w:val="00E831E7"/>
    <w:rsid w:val="00E84012"/>
    <w:rsid w:val="00E85AD7"/>
    <w:rsid w:val="00E932B6"/>
    <w:rsid w:val="00EA0724"/>
    <w:rsid w:val="00EB07AA"/>
    <w:rsid w:val="00EB23D0"/>
    <w:rsid w:val="00EB6414"/>
    <w:rsid w:val="00EC3E82"/>
    <w:rsid w:val="00ED2B84"/>
    <w:rsid w:val="00EE5E14"/>
    <w:rsid w:val="00F20D74"/>
    <w:rsid w:val="00F234C5"/>
    <w:rsid w:val="00F23890"/>
    <w:rsid w:val="00F33498"/>
    <w:rsid w:val="00F37CA3"/>
    <w:rsid w:val="00F5341C"/>
    <w:rsid w:val="00F6110D"/>
    <w:rsid w:val="00F7357E"/>
    <w:rsid w:val="00F7393F"/>
    <w:rsid w:val="00F809EA"/>
    <w:rsid w:val="00FA298A"/>
    <w:rsid w:val="00FA5A7B"/>
    <w:rsid w:val="00FB1747"/>
    <w:rsid w:val="00FB1BC9"/>
    <w:rsid w:val="00FB303E"/>
    <w:rsid w:val="00FC1B95"/>
    <w:rsid w:val="00FC6501"/>
    <w:rsid w:val="00FC705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C63577"/>
  <w15:docId w15:val="{E580184E-A5F3-4FA7-9442-F1B27D42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08A6"/>
    <w:rPr>
      <w:rFonts w:asciiTheme="minorHAnsi" w:hAnsiTheme="minorHAnsi"/>
    </w:rPr>
  </w:style>
  <w:style w:type="paragraph" w:styleId="Heading1">
    <w:name w:val="heading 1"/>
    <w:next w:val="BodyText"/>
    <w:link w:val="Heading1Char"/>
    <w:qFormat/>
    <w:rsid w:val="009E7080"/>
    <w:pPr>
      <w:keepNext/>
      <w:keepLines/>
      <w:spacing w:after="113" w:line="560" w:lineRule="exact"/>
      <w:outlineLvl w:val="0"/>
    </w:pPr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Heading2">
    <w:name w:val="heading 2"/>
    <w:next w:val="BodyText"/>
    <w:link w:val="Heading2Char"/>
    <w:qFormat/>
    <w:rsid w:val="009E7080"/>
    <w:pPr>
      <w:keepNext/>
      <w:keepLines/>
      <w:spacing w:after="567" w:line="420" w:lineRule="exact"/>
      <w:outlineLvl w:val="1"/>
    </w:pPr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Heading3">
    <w:name w:val="heading 3"/>
    <w:next w:val="BodyText"/>
    <w:link w:val="Heading3Char"/>
    <w:qFormat/>
    <w:rsid w:val="00CB544C"/>
    <w:pPr>
      <w:keepNext/>
      <w:keepLines/>
      <w:spacing w:before="284" w:after="113" w:line="240" w:lineRule="exact"/>
      <w:outlineLvl w:val="2"/>
    </w:pPr>
    <w:rPr>
      <w:rFonts w:ascii="Arial" w:eastAsiaTheme="majorEastAsia" w:hAnsi="Arial" w:cstheme="majorBidi"/>
      <w:b/>
      <w:bCs/>
      <w:color w:val="003150" w:themeColor="text2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9E7080"/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semiHidden/>
    <w:rsid w:val="00672994"/>
    <w:rPr>
      <w:rFonts w:asciiTheme="minorHAnsi" w:hAnsiTheme="minorHAnsi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672994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9E7080"/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94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CB544C"/>
    <w:rPr>
      <w:rFonts w:ascii="Arial" w:eastAsiaTheme="majorEastAsia" w:hAnsi="Arial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rsid w:val="009E7080"/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EA0724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0724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EA0724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EA0724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EA0724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EA0724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672994"/>
    <w:rPr>
      <w:rFonts w:asciiTheme="minorHAnsi" w:hAnsiTheme="minorHAnsi"/>
    </w:rPr>
  </w:style>
  <w:style w:type="paragraph" w:styleId="Quote">
    <w:name w:val="Quote"/>
    <w:link w:val="QuoteChar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0724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EA0724"/>
    <w:rPr>
      <w:rFonts w:asciiTheme="minorHAnsi" w:hAnsiTheme="minorHAnsi"/>
    </w:rPr>
  </w:style>
  <w:style w:type="paragraph" w:styleId="TOC1">
    <w:name w:val="toc 1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9345F1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345F1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345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511E43"/>
    <w:pPr>
      <w:spacing w:before="113" w:after="170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Cs w:val="52"/>
    </w:rPr>
  </w:style>
  <w:style w:type="character" w:customStyle="1" w:styleId="BodyCopyChar">
    <w:name w:val="Body Copy Char"/>
    <w:basedOn w:val="TitleChar"/>
    <w:link w:val="BodyCopy"/>
    <w:rsid w:val="00511E43"/>
    <w:rPr>
      <w:rFonts w:ascii="Arial" w:eastAsiaTheme="majorEastAsia" w:hAnsi="Arial" w:cstheme="majorBidi"/>
      <w:color w:val="000000" w:themeColor="text1"/>
      <w:spacing w:val="-2"/>
      <w:kern w:val="28"/>
      <w:sz w:val="52"/>
      <w:szCs w:val="52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 w:themeColor="text2"/>
      <w:spacing w:val="-1"/>
      <w:sz w:val="16"/>
    </w:rPr>
  </w:style>
  <w:style w:type="character" w:customStyle="1" w:styleId="FooterTextChar">
    <w:name w:val="Footer Text Char"/>
    <w:basedOn w:val="DefaultParagraphFont"/>
    <w:link w:val="FooterText"/>
    <w:semiHidden/>
    <w:rsid w:val="00613CA7"/>
    <w:rPr>
      <w:rFonts w:ascii="Times New Roman" w:hAnsi="Times New Roman"/>
      <w:color w:val="003150" w:themeColor="text2"/>
      <w:spacing w:val="-1"/>
      <w:sz w:val="16"/>
    </w:rPr>
  </w:style>
  <w:style w:type="character" w:styleId="Hyperlink">
    <w:name w:val="Hyperlink"/>
    <w:semiHidden/>
    <w:rsid w:val="00014E68"/>
    <w:rPr>
      <w:b/>
      <w:color w:val="000000" w:themeColor="text1"/>
      <w:u w:val="none"/>
    </w:rPr>
  </w:style>
  <w:style w:type="character" w:customStyle="1" w:styleId="EmphasisBlue">
    <w:name w:val="Emphasis (Blue)"/>
    <w:basedOn w:val="DefaultParagraphFont"/>
    <w:uiPriority w:val="3"/>
    <w:rsid w:val="00345569"/>
    <w:rPr>
      <w:b/>
      <w:color w:val="00759A" w:themeColor="accent1"/>
    </w:rPr>
  </w:style>
  <w:style w:type="character" w:styleId="PlaceholderText">
    <w:name w:val="Placeholder Text"/>
    <w:basedOn w:val="DefaultParagraphFont"/>
    <w:uiPriority w:val="99"/>
    <w:semiHidden/>
    <w:rsid w:val="00A22256"/>
    <w:rPr>
      <w:color w:val="808080"/>
    </w:rPr>
  </w:style>
  <w:style w:type="character" w:customStyle="1" w:styleId="FooterBold">
    <w:name w:val="Footer Bold"/>
    <w:basedOn w:val="DefaultParagraphFont"/>
    <w:semiHidden/>
    <w:rsid w:val="00FB1BC9"/>
    <w:rPr>
      <w:b/>
      <w:color w:val="003150" w:themeColor="text2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 w:line="240" w:lineRule="auto"/>
    </w:pPr>
    <w:rPr>
      <w:color w:val="003150" w:themeColor="text2"/>
      <w:sz w:val="2"/>
    </w:rPr>
  </w:style>
  <w:style w:type="paragraph" w:customStyle="1" w:styleId="BoxContactHeadingblack">
    <w:name w:val="Box Contact Heading (black)"/>
    <w:basedOn w:val="Heading3"/>
    <w:uiPriority w:val="1"/>
    <w:rsid w:val="00EB23D0"/>
    <w:rPr>
      <w:color w:val="000000" w:themeColor="text1"/>
    </w:rPr>
  </w:style>
  <w:style w:type="paragraph" w:customStyle="1" w:styleId="BoxContactHeadingwhite">
    <w:name w:val="Box Contact Heading (white)"/>
    <w:basedOn w:val="Heading3"/>
    <w:uiPriority w:val="1"/>
    <w:rsid w:val="00EB23D0"/>
    <w:rPr>
      <w:color w:val="FFFFFF" w:themeColor="background1"/>
    </w:rPr>
  </w:style>
  <w:style w:type="paragraph" w:customStyle="1" w:styleId="BoxContactInfowhite">
    <w:name w:val="Box Contact Info (white)"/>
    <w:basedOn w:val="Normal"/>
    <w:uiPriority w:val="1"/>
    <w:rsid w:val="00EB23D0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paragraph" w:customStyle="1" w:styleId="BoxContactInfoblack">
    <w:name w:val="Box Contact Info (black)"/>
    <w:basedOn w:val="BoxContactInfowhite"/>
    <w:uiPriority w:val="1"/>
    <w:rsid w:val="00EB23D0"/>
    <w:rPr>
      <w:color w:val="000000" w:themeColor="text1"/>
    </w:rPr>
  </w:style>
  <w:style w:type="paragraph" w:customStyle="1" w:styleId="BoxCopywhite">
    <w:name w:val="Box Copy (white)"/>
    <w:basedOn w:val="BodyCopy"/>
    <w:uiPriority w:val="1"/>
    <w:rsid w:val="00EB23D0"/>
    <w:rPr>
      <w:color w:val="FFFFFF" w:themeColor="background1"/>
    </w:rPr>
  </w:style>
  <w:style w:type="paragraph" w:customStyle="1" w:styleId="BoxCopyblack">
    <w:name w:val="Box Copy (black)"/>
    <w:basedOn w:val="BoxCopywhite"/>
    <w:uiPriority w:val="1"/>
    <w:rsid w:val="00EB23D0"/>
    <w:rPr>
      <w:color w:val="000000" w:themeColor="text1"/>
    </w:rPr>
  </w:style>
  <w:style w:type="paragraph" w:customStyle="1" w:styleId="BoxHeadingwhite">
    <w:name w:val="Box Heading (white)"/>
    <w:link w:val="BoxHeadingwhiteChar"/>
    <w:uiPriority w:val="1"/>
    <w:rsid w:val="00EB23D0"/>
    <w:pPr>
      <w:spacing w:after="340" w:line="420" w:lineRule="exact"/>
    </w:pPr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customStyle="1" w:styleId="BoxHeadingwhiteChar">
    <w:name w:val="Box Heading (white) Char"/>
    <w:basedOn w:val="DefaultParagraphFont"/>
    <w:link w:val="BoxHeadingwhite"/>
    <w:uiPriority w:val="1"/>
    <w:rsid w:val="00EB23D0"/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paragraph" w:customStyle="1" w:styleId="BoxHeadingblack">
    <w:name w:val="Box Heading (black)"/>
    <w:basedOn w:val="BoxHeadingwhite"/>
    <w:uiPriority w:val="1"/>
    <w:rsid w:val="00EB23D0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A53330"/>
    <w:pPr>
      <w:ind w:left="720"/>
    </w:pPr>
    <w:rPr>
      <w:rFonts w:ascii="Calibri" w:eastAsia="Calibri" w:hAnsi="Calibri" w:cs="Calibri"/>
      <w:sz w:val="22"/>
      <w:szCs w:val="22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0A288D"/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9876E0"/>
    <w:tblPr>
      <w:tblStyleRowBandSize w:val="1"/>
      <w:tblStyleColBandSize w:val="1"/>
      <w:tblBorders>
        <w:top w:val="single" w:sz="4" w:space="0" w:color="70DCFF" w:themeColor="accent1" w:themeTint="66"/>
        <w:left w:val="single" w:sz="4" w:space="0" w:color="70DCFF" w:themeColor="accent1" w:themeTint="66"/>
        <w:bottom w:val="single" w:sz="4" w:space="0" w:color="70DCFF" w:themeColor="accent1" w:themeTint="66"/>
        <w:right w:val="single" w:sz="4" w:space="0" w:color="70DCFF" w:themeColor="accent1" w:themeTint="66"/>
        <w:insideH w:val="single" w:sz="4" w:space="0" w:color="70DCFF" w:themeColor="accent1" w:themeTint="66"/>
        <w:insideV w:val="single" w:sz="4" w:space="0" w:color="70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9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2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6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6D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B2E6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inquiries@australiaawardsbhutan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australiaawardsbhut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fat.gov.au/about-us/publications/Pages/australia-awards-scholarships-policy-handbook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fat.gov.au/about-us/publications/Pages/australia-awards-scholarships-policy-handbook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ma_Tenzin\Desktop\BH_In2015%20Docs\2.%20Priority%20Areas\Priority%20Fields%20of%20Study_BH_In2015.dotx" TargetMode="External"/></Relationships>
</file>

<file path=word/theme/theme1.xml><?xml version="1.0" encoding="utf-8"?>
<a:theme xmlns:a="http://schemas.openxmlformats.org/drawingml/2006/main" name="AusAid">
  <a:themeElements>
    <a:clrScheme name="Custom 2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d18a627a-b22d-4d2d-af64-8d0bee5e422c" xsi:nil="true"/>
    <lcf76f155ced4ddcb4097134ff3c332f xmlns="6c0dbd45-3d05-4e09-8d9e-598038de50a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43F223143374292DC366699D51514" ma:contentTypeVersion="12" ma:contentTypeDescription="Create a new document." ma:contentTypeScope="" ma:versionID="bc6d0189521de8f8df51a2bbedd6a607">
  <xsd:schema xmlns:xsd="http://www.w3.org/2001/XMLSchema" xmlns:xs="http://www.w3.org/2001/XMLSchema" xmlns:p="http://schemas.microsoft.com/office/2006/metadata/properties" xmlns:ns2="6c0dbd45-3d05-4e09-8d9e-598038de50a4" xmlns:ns3="d18a627a-b22d-4d2d-af64-8d0bee5e422c" targetNamespace="http://schemas.microsoft.com/office/2006/metadata/properties" ma:root="true" ma:fieldsID="8ec9b15e8a6023519a2caaa93fb031c8" ns2:_="" ns3:_="">
    <xsd:import namespace="6c0dbd45-3d05-4e09-8d9e-598038de50a4"/>
    <xsd:import namespace="d18a627a-b22d-4d2d-af64-8d0bee5e4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dbd45-3d05-4e09-8d9e-598038de5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627a-b22d-4d2d-af64-8d0bee5e42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4e13333-6fca-4288-b486-663f7ca7f6ac}" ma:internalName="TaxCatchAll" ma:showField="CatchAllData" ma:web="d18a627a-b22d-4d2d-af64-8d0bee5e4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41321-4C08-48BE-A46B-A4599C492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7EA14-310D-4DF8-89EF-53375F87D72F}">
  <ds:schemaRefs>
    <ds:schemaRef ds:uri="http://schemas.microsoft.com/office/2006/metadata/properties"/>
    <ds:schemaRef ds:uri="d18a627a-b22d-4d2d-af64-8d0bee5e422c"/>
    <ds:schemaRef ds:uri="6c0dbd45-3d05-4e09-8d9e-598038de50a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D11CF-08CF-4A49-814B-26F095EB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dbd45-3d05-4e09-8d9e-598038de50a4"/>
    <ds:schemaRef ds:uri="d18a627a-b22d-4d2d-af64-8d0bee5e4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E42B92-DA29-40D4-AE0A-B384053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Priority Fields of Study_BH_In2015</Template>
  <TotalTime>5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Awards</vt:lpstr>
    </vt:vector>
  </TitlesOfParts>
  <Company>Dr.doc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Awards</dc:title>
  <dc:subject>commencing in 2021</dc:subject>
  <dc:creator>Karma</dc:creator>
  <cp:lastModifiedBy>Tenzin, Karma</cp:lastModifiedBy>
  <cp:revision>2</cp:revision>
  <cp:lastPrinted>2013-03-26T13:04:00Z</cp:lastPrinted>
  <dcterms:created xsi:type="dcterms:W3CDTF">2024-01-04T10:25:00Z</dcterms:created>
  <dcterms:modified xsi:type="dcterms:W3CDTF">2024-01-04T10:25:00Z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0x010100A9443F223143374292DC366699D51514</vt:lpwstr>
  </property>
  <property fmtid="{D5CDD505-2E9C-101B-9397-08002B2CF9AE}" pid="3" name="Order">
    <vt:r8>6400</vt:r8>
  </property>
</Properties>
</file>